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sz w:val="32"/>
          <w:szCs w:val="32"/>
        </w:rPr>
      </w:pPr>
      <w:r>
        <w:t xml:space="preserve">             </w:t>
      </w:r>
      <w:r>
        <w:rPr>
          <w:sz w:val="32"/>
          <w:szCs w:val="32"/>
        </w:rPr>
        <w:t>ENGLISH LANGUAGE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SS3 WEEK 2&amp;3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 xml:space="preserve">         TOPIC: CONCORD</w:t>
      </w:r>
      <w:r>
        <w:rPr>
          <w:sz w:val="32"/>
          <w:szCs w:val="32"/>
        </w:rPr>
        <w:t xml:space="preserve"> 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>MEANING: Concord in grammar simply means a grammatical agreement be</w:t>
      </w:r>
      <w:r>
        <w:rPr>
          <w:sz w:val="32"/>
          <w:szCs w:val="32"/>
        </w:rPr>
        <w:t xml:space="preserve">tween the subject and the verb, </w:t>
      </w:r>
      <w:r>
        <w:rPr>
          <w:sz w:val="32"/>
          <w:szCs w:val="32"/>
        </w:rPr>
        <w:t>between a pronoun and its antecedent.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 xml:space="preserve">         RULES OF CONCORD</w:t>
      </w:r>
      <w:r>
        <w:rPr>
          <w:sz w:val="32"/>
          <w:szCs w:val="32"/>
        </w:rPr>
        <w:t xml:space="preserve"> SS 3, </w:t>
      </w:r>
      <w:r>
        <w:rPr>
          <w:sz w:val="32"/>
          <w:szCs w:val="32"/>
        </w:rPr>
        <w:t>WK2 AND 3</w:t>
      </w:r>
    </w:p>
    <w:p>
      <w:pPr>
        <w:pStyle w:val="style179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When the subject is singular, it takes a singular verb, and when the sub</w:t>
      </w:r>
      <w:r>
        <w:rPr>
          <w:sz w:val="32"/>
          <w:szCs w:val="32"/>
        </w:rPr>
        <w:t xml:space="preserve">ject is </w:t>
      </w:r>
      <w:r>
        <w:rPr>
          <w:sz w:val="32"/>
          <w:szCs w:val="32"/>
        </w:rPr>
        <w:t>plural ,</w:t>
      </w:r>
      <w:r>
        <w:rPr>
          <w:sz w:val="32"/>
          <w:szCs w:val="32"/>
        </w:rPr>
        <w:t xml:space="preserve"> a plural verb f</w:t>
      </w:r>
      <w:r>
        <w:rPr>
          <w:sz w:val="32"/>
          <w:szCs w:val="32"/>
        </w:rPr>
        <w:t>ollows.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Examples:</w:t>
      </w:r>
    </w:p>
    <w:p>
      <w:pPr>
        <w:pStyle w:val="style179"/>
        <w:rPr>
          <w:sz w:val="32"/>
          <w:szCs w:val="32"/>
        </w:rPr>
      </w:pPr>
      <w:r>
        <w:rPr>
          <w:sz w:val="32"/>
          <w:szCs w:val="32"/>
        </w:rPr>
        <w:t>[</w:t>
      </w:r>
      <w:r>
        <w:rPr>
          <w:sz w:val="32"/>
          <w:szCs w:val="32"/>
        </w:rPr>
        <w:t>a</w:t>
      </w:r>
      <w:r>
        <w:rPr>
          <w:sz w:val="32"/>
          <w:szCs w:val="32"/>
        </w:rPr>
        <w:t>] Ayo attends to his friends twice a week.</w:t>
      </w:r>
    </w:p>
    <w:p>
      <w:pPr>
        <w:pStyle w:val="style179"/>
        <w:rPr>
          <w:sz w:val="32"/>
          <w:szCs w:val="32"/>
        </w:rPr>
      </w:pPr>
      <w:r>
        <w:rPr>
          <w:sz w:val="32"/>
          <w:szCs w:val="32"/>
        </w:rPr>
        <w:t>[b] Literature –In –English is my best subject.</w:t>
      </w:r>
    </w:p>
    <w:p>
      <w:pPr>
        <w:pStyle w:val="style179"/>
        <w:rPr>
          <w:sz w:val="32"/>
          <w:szCs w:val="32"/>
        </w:rPr>
      </w:pPr>
      <w:r>
        <w:rPr>
          <w:sz w:val="32"/>
          <w:szCs w:val="32"/>
        </w:rPr>
        <w:t>[</w:t>
      </w:r>
      <w:r>
        <w:rPr>
          <w:sz w:val="32"/>
          <w:szCs w:val="32"/>
        </w:rPr>
        <w:t>c ]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Olu</w:t>
      </w:r>
      <w:r>
        <w:rPr>
          <w:sz w:val="32"/>
          <w:szCs w:val="32"/>
        </w:rPr>
        <w:t xml:space="preserve"> has enough money.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 xml:space="preserve">        NOTE: When the first person sing</w:t>
      </w:r>
      <w:r>
        <w:rPr>
          <w:sz w:val="32"/>
          <w:szCs w:val="32"/>
        </w:rPr>
        <w:t xml:space="preserve">ular pronoun ‘I’ is used with the   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 xml:space="preserve">                       Primary auxiliary verb ‘have’ the verb ‘have’ is used in the 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 xml:space="preserve">                      Plural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sense.</w:t>
      </w:r>
      <w:r>
        <w:rPr>
          <w:sz w:val="32"/>
          <w:szCs w:val="32"/>
        </w:rPr>
        <w:t xml:space="preserve"> Examples: (i)</w:t>
      </w:r>
      <w:r>
        <w:rPr>
          <w:sz w:val="32"/>
          <w:szCs w:val="32"/>
        </w:rPr>
        <w:t xml:space="preserve"> I have [plural] more than five 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 xml:space="preserve">                      Books </w:t>
      </w:r>
      <w:r>
        <w:rPr>
          <w:sz w:val="32"/>
          <w:szCs w:val="32"/>
        </w:rPr>
        <w:t xml:space="preserve">in </w:t>
      </w:r>
      <w:r>
        <w:rPr>
          <w:sz w:val="32"/>
          <w:szCs w:val="32"/>
        </w:rPr>
        <w:t>Mathematics .</w:t>
      </w:r>
      <w:r>
        <w:rPr>
          <w:sz w:val="32"/>
          <w:szCs w:val="32"/>
        </w:rPr>
        <w:t xml:space="preserve"> (ii)</w:t>
      </w:r>
      <w:r>
        <w:rPr>
          <w:sz w:val="32"/>
          <w:szCs w:val="32"/>
        </w:rPr>
        <w:t xml:space="preserve"> I have warned </w:t>
      </w:r>
      <w:r>
        <w:rPr>
          <w:sz w:val="32"/>
          <w:szCs w:val="32"/>
        </w:rPr>
        <w:t>Sola against coming late to school.</w:t>
      </w:r>
    </w:p>
    <w:p>
      <w:pPr>
        <w:pStyle w:val="style179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When two or more singular subjects are connected by ‘and’, a pl</w:t>
      </w:r>
      <w:r>
        <w:rPr>
          <w:sz w:val="32"/>
          <w:szCs w:val="32"/>
        </w:rPr>
        <w:t>ural verb is used. Examples: (i)</w:t>
      </w:r>
      <w:r>
        <w:rPr>
          <w:sz w:val="32"/>
          <w:szCs w:val="32"/>
        </w:rPr>
        <w:t xml:space="preserve"> The Principal and his wife </w:t>
      </w:r>
      <w:r>
        <w:rPr>
          <w:b/>
          <w:sz w:val="32"/>
          <w:szCs w:val="32"/>
        </w:rPr>
        <w:t>are</w:t>
      </w:r>
      <w:r>
        <w:rPr>
          <w:sz w:val="32"/>
          <w:szCs w:val="32"/>
        </w:rPr>
        <w:t xml:space="preserve"> wonderful.</w:t>
      </w:r>
      <w:r>
        <w:rPr>
          <w:sz w:val="32"/>
          <w:szCs w:val="32"/>
        </w:rPr>
        <w:t xml:space="preserve"> (ii)Taiwo and Kehinde </w:t>
      </w:r>
      <w:r>
        <w:rPr>
          <w:b/>
          <w:sz w:val="32"/>
          <w:szCs w:val="32"/>
        </w:rPr>
        <w:t xml:space="preserve">do </w:t>
      </w:r>
      <w:r>
        <w:rPr>
          <w:sz w:val="32"/>
          <w:szCs w:val="32"/>
        </w:rPr>
        <w:t xml:space="preserve">things in common. (iii) My sister and my confidante </w:t>
      </w:r>
      <w:r>
        <w:rPr>
          <w:b/>
          <w:sz w:val="32"/>
          <w:szCs w:val="32"/>
        </w:rPr>
        <w:t xml:space="preserve">are </w:t>
      </w:r>
      <w:r>
        <w:rPr>
          <w:sz w:val="32"/>
          <w:szCs w:val="32"/>
        </w:rPr>
        <w:t>very hard working</w:t>
      </w:r>
      <w:r>
        <w:rPr>
          <w:sz w:val="32"/>
          <w:szCs w:val="32"/>
        </w:rPr>
        <w:t>.</w:t>
      </w:r>
    </w:p>
    <w:p>
      <w:pPr>
        <w:pStyle w:val="style179"/>
        <w:rPr>
          <w:sz w:val="32"/>
          <w:szCs w:val="32"/>
        </w:rPr>
      </w:pPr>
      <w:r>
        <w:rPr>
          <w:sz w:val="32"/>
          <w:szCs w:val="32"/>
        </w:rPr>
        <w:t>However, there are some exceptions to ‘rule 2’.</w:t>
      </w:r>
    </w:p>
    <w:p>
      <w:pPr>
        <w:pStyle w:val="style179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When the two singular subjects which are connected by </w:t>
      </w:r>
      <w:r>
        <w:rPr>
          <w:b/>
          <w:sz w:val="32"/>
          <w:szCs w:val="32"/>
        </w:rPr>
        <w:t xml:space="preserve">and </w:t>
      </w:r>
      <w:r>
        <w:rPr>
          <w:sz w:val="32"/>
          <w:szCs w:val="32"/>
        </w:rPr>
        <w:t xml:space="preserve">refer to the same person or thing, a singular verb follows: Examples: (i) </w:t>
      </w:r>
      <w:r>
        <w:rPr>
          <w:sz w:val="32"/>
          <w:szCs w:val="32"/>
        </w:rPr>
        <w:t>My</w:t>
      </w:r>
      <w:r>
        <w:rPr>
          <w:sz w:val="32"/>
          <w:szCs w:val="32"/>
        </w:rPr>
        <w:t xml:space="preserve"> sister and confidante </w:t>
      </w:r>
      <w:r>
        <w:rPr>
          <w:b/>
          <w:sz w:val="32"/>
          <w:szCs w:val="32"/>
        </w:rPr>
        <w:t xml:space="preserve">is </w:t>
      </w:r>
      <w:r>
        <w:rPr>
          <w:sz w:val="32"/>
          <w:szCs w:val="32"/>
        </w:rPr>
        <w:t xml:space="preserve">very hard working. </w:t>
      </w:r>
      <w:r>
        <w:rPr>
          <w:sz w:val="32"/>
          <w:szCs w:val="32"/>
        </w:rPr>
        <w:t xml:space="preserve">(The second subject </w:t>
      </w:r>
      <w:r>
        <w:rPr>
          <w:b/>
          <w:sz w:val="32"/>
          <w:szCs w:val="32"/>
        </w:rPr>
        <w:t>confidante</w:t>
      </w:r>
      <w:r>
        <w:rPr>
          <w:sz w:val="32"/>
          <w:szCs w:val="32"/>
        </w:rPr>
        <w:t xml:space="preserve"> does not take a different modifier –‘my’, hence, she (</w:t>
      </w:r>
      <w:r>
        <w:rPr>
          <w:b/>
          <w:sz w:val="32"/>
          <w:szCs w:val="32"/>
        </w:rPr>
        <w:t>confidante</w:t>
      </w:r>
      <w:r>
        <w:rPr>
          <w:sz w:val="32"/>
          <w:szCs w:val="32"/>
        </w:rPr>
        <w:t xml:space="preserve">) is the same person as my sister). (ii)My brother and friend </w:t>
      </w:r>
      <w:r>
        <w:rPr>
          <w:b/>
          <w:sz w:val="32"/>
          <w:szCs w:val="32"/>
        </w:rPr>
        <w:t>shares</w:t>
      </w:r>
      <w:r>
        <w:rPr>
          <w:sz w:val="32"/>
          <w:szCs w:val="32"/>
        </w:rPr>
        <w:t xml:space="preserve"> the same opinion with me on political issues. (iii)Bread and butter </w:t>
      </w:r>
      <w:r>
        <w:rPr>
          <w:b/>
          <w:sz w:val="32"/>
          <w:szCs w:val="32"/>
        </w:rPr>
        <w:t>is</w:t>
      </w:r>
      <w:r>
        <w:rPr>
          <w:sz w:val="32"/>
          <w:szCs w:val="32"/>
        </w:rPr>
        <w:t xml:space="preserve"> a good combination.</w:t>
      </w:r>
    </w:p>
    <w:p>
      <w:pPr>
        <w:pStyle w:val="style179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When indefinite pronouns </w:t>
      </w:r>
      <w:r>
        <w:rPr>
          <w:b/>
          <w:sz w:val="32"/>
          <w:szCs w:val="32"/>
        </w:rPr>
        <w:t xml:space="preserve">every </w:t>
      </w:r>
      <w:r>
        <w:rPr>
          <w:sz w:val="32"/>
          <w:szCs w:val="32"/>
        </w:rPr>
        <w:t>and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each</w:t>
      </w:r>
      <w:r>
        <w:rPr>
          <w:sz w:val="32"/>
          <w:szCs w:val="32"/>
        </w:rPr>
        <w:t xml:space="preserve"> are used with the two singu</w:t>
      </w:r>
      <w:r>
        <w:rPr>
          <w:sz w:val="32"/>
          <w:szCs w:val="32"/>
        </w:rPr>
        <w:t xml:space="preserve">lar </w:t>
      </w:r>
      <w:r>
        <w:rPr>
          <w:sz w:val="32"/>
          <w:szCs w:val="32"/>
        </w:rPr>
        <w:t xml:space="preserve">subjects connected by </w:t>
      </w:r>
      <w:r>
        <w:rPr>
          <w:b/>
          <w:sz w:val="32"/>
          <w:szCs w:val="32"/>
        </w:rPr>
        <w:t>and</w:t>
      </w:r>
      <w:r>
        <w:rPr>
          <w:sz w:val="32"/>
          <w:szCs w:val="32"/>
        </w:rPr>
        <w:t xml:space="preserve">, a singular verb follows. This means each of the subjects is regarded as individual entity on its own. </w:t>
      </w:r>
    </w:p>
    <w:p>
      <w:pPr>
        <w:pStyle w:val="style179"/>
        <w:ind w:left="1215"/>
        <w:rPr>
          <w:sz w:val="32"/>
          <w:szCs w:val="32"/>
        </w:rPr>
      </w:pPr>
      <w:r>
        <w:rPr>
          <w:sz w:val="32"/>
          <w:szCs w:val="32"/>
        </w:rPr>
        <w:t xml:space="preserve">Examples: (i) Each window and door </w:t>
      </w:r>
      <w:r>
        <w:rPr>
          <w:b/>
          <w:sz w:val="32"/>
          <w:szCs w:val="32"/>
        </w:rPr>
        <w:t>is</w:t>
      </w:r>
      <w:r>
        <w:rPr>
          <w:sz w:val="32"/>
          <w:szCs w:val="32"/>
        </w:rPr>
        <w:t xml:space="preserve"> securely locked after every service. (ii) Every teacher and student </w:t>
      </w:r>
      <w:r>
        <w:rPr>
          <w:b/>
          <w:sz w:val="32"/>
          <w:szCs w:val="32"/>
        </w:rPr>
        <w:t xml:space="preserve">has </w:t>
      </w:r>
      <w:r>
        <w:rPr>
          <w:sz w:val="32"/>
          <w:szCs w:val="32"/>
        </w:rPr>
        <w:t>a role to play in the development of the school.</w:t>
      </w:r>
    </w:p>
    <w:p>
      <w:pPr>
        <w:pStyle w:val="style179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When two or more singular subjects are joined by </w:t>
      </w:r>
      <w:r>
        <w:rPr>
          <w:b/>
          <w:sz w:val="32"/>
          <w:szCs w:val="32"/>
        </w:rPr>
        <w:t>neither-nor, either-or</w:t>
      </w:r>
      <w:r>
        <w:rPr>
          <w:sz w:val="32"/>
          <w:szCs w:val="32"/>
        </w:rPr>
        <w:t xml:space="preserve">, </w:t>
      </w:r>
      <w:r>
        <w:rPr>
          <w:b/>
          <w:sz w:val="32"/>
          <w:szCs w:val="32"/>
        </w:rPr>
        <w:t xml:space="preserve">not only-but, </w:t>
      </w:r>
      <w:r>
        <w:rPr>
          <w:sz w:val="32"/>
          <w:szCs w:val="32"/>
        </w:rPr>
        <w:t xml:space="preserve">a singular </w:t>
      </w:r>
      <w:r>
        <w:rPr>
          <w:sz w:val="32"/>
          <w:szCs w:val="32"/>
        </w:rPr>
        <w:t xml:space="preserve">verb is used. </w:t>
      </w:r>
    </w:p>
    <w:p>
      <w:pPr>
        <w:pStyle w:val="style179"/>
        <w:rPr>
          <w:sz w:val="32"/>
          <w:szCs w:val="32"/>
        </w:rPr>
      </w:pPr>
      <w:r>
        <w:rPr>
          <w:sz w:val="32"/>
          <w:szCs w:val="32"/>
        </w:rPr>
        <w:t xml:space="preserve">Examples: (i) </w:t>
      </w:r>
      <w:r>
        <w:rPr>
          <w:sz w:val="32"/>
          <w:szCs w:val="32"/>
        </w:rPr>
        <w:t>Neither</w:t>
      </w:r>
      <w:r>
        <w:rPr>
          <w:sz w:val="32"/>
          <w:szCs w:val="32"/>
        </w:rPr>
        <w:t xml:space="preserve"> Kehinde</w:t>
      </w:r>
      <w:r>
        <w:rPr>
          <w:sz w:val="32"/>
          <w:szCs w:val="32"/>
        </w:rPr>
        <w:t xml:space="preserve"> nor Taiwo </w:t>
      </w:r>
      <w:r>
        <w:rPr>
          <w:b/>
          <w:sz w:val="32"/>
          <w:szCs w:val="32"/>
        </w:rPr>
        <w:t xml:space="preserve">qualifies </w:t>
      </w:r>
      <w:r>
        <w:rPr>
          <w:sz w:val="32"/>
          <w:szCs w:val="32"/>
        </w:rPr>
        <w:t xml:space="preserve">for the award. (ii) Either the principal or the vice principal </w:t>
      </w:r>
      <w:r>
        <w:rPr>
          <w:b/>
          <w:sz w:val="32"/>
          <w:szCs w:val="32"/>
        </w:rPr>
        <w:t xml:space="preserve">gives </w:t>
      </w:r>
      <w:r>
        <w:rPr>
          <w:sz w:val="32"/>
          <w:szCs w:val="32"/>
        </w:rPr>
        <w:t xml:space="preserve">out the certificate. (iii)  Not Taiwo but Kehinde </w:t>
      </w:r>
      <w:r>
        <w:rPr>
          <w:b/>
          <w:sz w:val="32"/>
          <w:szCs w:val="32"/>
        </w:rPr>
        <w:t>was</w:t>
      </w:r>
      <w:r>
        <w:rPr>
          <w:sz w:val="32"/>
          <w:szCs w:val="32"/>
        </w:rPr>
        <w:t xml:space="preserve"> responsible for the theft.  However, if one of the subjects is plural, the rule of proximity (nearness) is applied. In other words, the last subject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that </w:t>
      </w:r>
      <w:r>
        <w:rPr>
          <w:sz w:val="32"/>
          <w:szCs w:val="32"/>
        </w:rPr>
        <w:t>precedes</w:t>
      </w:r>
      <w:r>
        <w:rPr>
          <w:sz w:val="32"/>
          <w:szCs w:val="32"/>
        </w:rPr>
        <w:t xml:space="preserve"> t</w:t>
      </w:r>
      <w:r>
        <w:rPr>
          <w:sz w:val="32"/>
          <w:szCs w:val="32"/>
        </w:rPr>
        <w:t>he verb determines the number (</w:t>
      </w:r>
      <w:r>
        <w:rPr>
          <w:sz w:val="32"/>
          <w:szCs w:val="32"/>
        </w:rPr>
        <w:t>singular or plural</w:t>
      </w:r>
      <w:r>
        <w:rPr>
          <w:sz w:val="32"/>
          <w:szCs w:val="32"/>
        </w:rPr>
        <w:t>)</w:t>
      </w:r>
      <w:r>
        <w:rPr>
          <w:sz w:val="32"/>
          <w:szCs w:val="32"/>
        </w:rPr>
        <w:t xml:space="preserve"> of the verb used.</w:t>
      </w:r>
    </w:p>
    <w:p>
      <w:pPr>
        <w:pStyle w:val="style179"/>
        <w:rPr>
          <w:sz w:val="32"/>
          <w:szCs w:val="32"/>
        </w:rPr>
      </w:pPr>
      <w:r>
        <w:rPr>
          <w:sz w:val="32"/>
          <w:szCs w:val="32"/>
        </w:rPr>
        <w:t xml:space="preserve">     Examples: (i)</w:t>
      </w:r>
      <w:r>
        <w:rPr>
          <w:sz w:val="32"/>
          <w:szCs w:val="32"/>
        </w:rPr>
        <w:t xml:space="preserve"> Neither t</w:t>
      </w:r>
      <w:r>
        <w:rPr>
          <w:sz w:val="32"/>
          <w:szCs w:val="32"/>
        </w:rPr>
        <w:t>he chairman nor his councilors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“have”</w:t>
      </w:r>
      <w:r>
        <w:rPr>
          <w:sz w:val="32"/>
          <w:szCs w:val="32"/>
        </w:rPr>
        <w:t xml:space="preserve"> a sense of directio</w:t>
      </w:r>
      <w:r>
        <w:rPr>
          <w:sz w:val="32"/>
          <w:szCs w:val="32"/>
        </w:rPr>
        <w:t>n. (</w:t>
      </w:r>
      <w:r>
        <w:rPr>
          <w:sz w:val="32"/>
          <w:szCs w:val="32"/>
        </w:rPr>
        <w:t>Have is immediately proceeded by co</w:t>
      </w:r>
      <w:r>
        <w:rPr>
          <w:sz w:val="32"/>
          <w:szCs w:val="32"/>
        </w:rPr>
        <w:t>uncil</w:t>
      </w:r>
      <w:r>
        <w:rPr>
          <w:sz w:val="32"/>
          <w:szCs w:val="32"/>
        </w:rPr>
        <w:t>ors</w:t>
      </w:r>
      <w:r>
        <w:rPr>
          <w:sz w:val="32"/>
          <w:szCs w:val="32"/>
        </w:rPr>
        <w:t xml:space="preserve"> [plural] the </w:t>
      </w:r>
      <w:r>
        <w:rPr>
          <w:sz w:val="32"/>
          <w:szCs w:val="32"/>
        </w:rPr>
        <w:t>chairman, hence the councilors (plural)</w:t>
      </w:r>
      <w:r>
        <w:rPr>
          <w:sz w:val="32"/>
          <w:szCs w:val="32"/>
        </w:rPr>
        <w:t xml:space="preserve"> determine the verb ‘have’ (plural)</w:t>
      </w:r>
      <w:r>
        <w:rPr>
          <w:sz w:val="32"/>
          <w:szCs w:val="32"/>
        </w:rPr>
        <w:t>.</w:t>
      </w:r>
      <w:r>
        <w:rPr>
          <w:sz w:val="32"/>
          <w:szCs w:val="32"/>
        </w:rPr>
        <w:tab/>
      </w:r>
    </w:p>
    <w:p>
      <w:pPr>
        <w:pStyle w:val="style179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When a singular subject is connected to other subjects </w:t>
      </w:r>
      <w:r>
        <w:rPr>
          <w:sz w:val="32"/>
          <w:szCs w:val="32"/>
        </w:rPr>
        <w:t>[whether singular or plural] by ‘</w:t>
      </w:r>
      <w:r>
        <w:rPr>
          <w:sz w:val="32"/>
          <w:szCs w:val="32"/>
        </w:rPr>
        <w:t>as well as, including, with, together with, along with, in</w:t>
      </w:r>
      <w:r>
        <w:rPr>
          <w:sz w:val="32"/>
          <w:szCs w:val="32"/>
        </w:rPr>
        <w:t xml:space="preserve"> addition to’ a singular verb is used.</w:t>
      </w:r>
      <w:r>
        <w:rPr>
          <w:sz w:val="32"/>
          <w:szCs w:val="32"/>
        </w:rPr>
        <w:t xml:space="preserve"> </w:t>
      </w:r>
    </w:p>
    <w:p>
      <w:pPr>
        <w:pStyle w:val="style179"/>
        <w:rPr>
          <w:sz w:val="32"/>
          <w:szCs w:val="32"/>
        </w:rPr>
      </w:pPr>
      <w:r>
        <w:rPr>
          <w:sz w:val="32"/>
          <w:szCs w:val="32"/>
        </w:rPr>
        <w:t xml:space="preserve">Example: (i) The king together with his chiefs </w:t>
      </w:r>
      <w:r>
        <w:rPr>
          <w:b/>
          <w:sz w:val="32"/>
          <w:szCs w:val="32"/>
        </w:rPr>
        <w:t xml:space="preserve">encourages </w:t>
      </w:r>
      <w:r>
        <w:rPr>
          <w:sz w:val="32"/>
          <w:szCs w:val="32"/>
        </w:rPr>
        <w:t xml:space="preserve">the militant youths. (ii) </w:t>
      </w:r>
      <w:r>
        <w:rPr>
          <w:sz w:val="32"/>
          <w:szCs w:val="32"/>
        </w:rPr>
        <w:t xml:space="preserve">English Language as well as Biology is </w:t>
      </w:r>
      <w:r>
        <w:rPr>
          <w:sz w:val="32"/>
          <w:szCs w:val="32"/>
        </w:rPr>
        <w:t>compulsory.</w:t>
      </w:r>
    </w:p>
    <w:p>
      <w:pPr>
        <w:pStyle w:val="style179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When indefinite pron</w:t>
      </w:r>
      <w:r>
        <w:rPr>
          <w:sz w:val="32"/>
          <w:szCs w:val="32"/>
        </w:rPr>
        <w:t>ouns like ‘</w:t>
      </w:r>
      <w:r>
        <w:rPr>
          <w:sz w:val="32"/>
          <w:szCs w:val="32"/>
        </w:rPr>
        <w:t xml:space="preserve">nobody, anybody, anyone, someone, somebody, no one, none, everybody, etc are subjects </w:t>
      </w:r>
      <w:r>
        <w:rPr>
          <w:sz w:val="32"/>
          <w:szCs w:val="32"/>
        </w:rPr>
        <w:t>in a sentence, a singular verb is used.</w:t>
      </w:r>
    </w:p>
    <w:p>
      <w:pPr>
        <w:pStyle w:val="style179"/>
        <w:rPr>
          <w:sz w:val="32"/>
          <w:szCs w:val="32"/>
        </w:rPr>
      </w:pPr>
      <w:r>
        <w:rPr>
          <w:sz w:val="32"/>
          <w:szCs w:val="32"/>
        </w:rPr>
        <w:t>Examples: [i] Somebody ‘sneaks’ in at nights to steal the blind woman’s money. [ii]</w:t>
      </w:r>
      <w:r>
        <w:rPr>
          <w:sz w:val="32"/>
          <w:szCs w:val="32"/>
        </w:rPr>
        <w:t>Nobody ‘cares’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about the state of the flock.</w:t>
      </w:r>
    </w:p>
    <w:p>
      <w:pPr>
        <w:pStyle w:val="style179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In a complex sentence, the antecedent of the relative p</w:t>
      </w:r>
      <w:r>
        <w:rPr>
          <w:sz w:val="32"/>
          <w:szCs w:val="32"/>
        </w:rPr>
        <w:t>ronoun that acts as the subject of the subordinate clause determines the verb.</w:t>
      </w:r>
    </w:p>
    <w:p>
      <w:pPr>
        <w:pStyle w:val="style179"/>
        <w:rPr>
          <w:sz w:val="32"/>
          <w:szCs w:val="32"/>
        </w:rPr>
      </w:pPr>
      <w:r>
        <w:rPr>
          <w:sz w:val="32"/>
          <w:szCs w:val="32"/>
        </w:rPr>
        <w:t xml:space="preserve">Examples: [i] The retired military officer </w:t>
      </w:r>
      <w:r>
        <w:rPr>
          <w:sz w:val="32"/>
          <w:szCs w:val="32"/>
        </w:rPr>
        <w:t>is one of the past leaders who are embodiment of corruption.</w:t>
      </w:r>
      <w:r>
        <w:rPr>
          <w:sz w:val="32"/>
          <w:szCs w:val="32"/>
        </w:rPr>
        <w:t xml:space="preserve"> Note: </w:t>
      </w:r>
      <w:r>
        <w:rPr>
          <w:b/>
          <w:sz w:val="32"/>
          <w:szCs w:val="32"/>
        </w:rPr>
        <w:t xml:space="preserve">Who </w:t>
      </w:r>
      <w:r>
        <w:rPr>
          <w:sz w:val="32"/>
          <w:szCs w:val="32"/>
        </w:rPr>
        <w:t xml:space="preserve">is the subject of the subordinate relative clause – who </w:t>
      </w:r>
      <w:r>
        <w:rPr>
          <w:sz w:val="32"/>
          <w:szCs w:val="32"/>
        </w:rPr>
        <w:t>are</w:t>
      </w:r>
      <w:r>
        <w:rPr>
          <w:sz w:val="32"/>
          <w:szCs w:val="32"/>
        </w:rPr>
        <w:t xml:space="preserve"> embodiment of corruption. The antecedent of </w:t>
      </w:r>
      <w:r>
        <w:rPr>
          <w:b/>
          <w:sz w:val="32"/>
          <w:szCs w:val="32"/>
        </w:rPr>
        <w:t>who</w:t>
      </w:r>
      <w:r>
        <w:rPr>
          <w:b/>
          <w:sz w:val="32"/>
          <w:szCs w:val="32"/>
        </w:rPr>
        <w:t xml:space="preserve">, leaders </w:t>
      </w:r>
      <w:r>
        <w:rPr>
          <w:sz w:val="32"/>
          <w:szCs w:val="32"/>
        </w:rPr>
        <w:t xml:space="preserve">is plural, hence the plural verb </w:t>
      </w:r>
      <w:r>
        <w:rPr>
          <w:b/>
          <w:sz w:val="32"/>
          <w:szCs w:val="32"/>
        </w:rPr>
        <w:t>are</w:t>
      </w:r>
      <w:r>
        <w:rPr>
          <w:sz w:val="32"/>
          <w:szCs w:val="32"/>
        </w:rPr>
        <w:t xml:space="preserve">. (ii) One of the suits which </w:t>
      </w:r>
      <w:r>
        <w:rPr>
          <w:b/>
          <w:sz w:val="32"/>
          <w:szCs w:val="32"/>
        </w:rPr>
        <w:t>were</w:t>
      </w:r>
      <w:r>
        <w:rPr>
          <w:sz w:val="32"/>
          <w:szCs w:val="32"/>
        </w:rPr>
        <w:t xml:space="preserve"> purchased abroad is already torn. (Suits is the antecedent of </w:t>
      </w:r>
      <w:r>
        <w:rPr>
          <w:b/>
          <w:sz w:val="32"/>
          <w:szCs w:val="32"/>
        </w:rPr>
        <w:t>which</w:t>
      </w:r>
      <w:r>
        <w:rPr>
          <w:sz w:val="32"/>
          <w:szCs w:val="32"/>
        </w:rPr>
        <w:t xml:space="preserve">). </w:t>
      </w:r>
      <w:bookmarkStart w:id="0" w:name="_GoBack"/>
      <w:bookmarkEnd w:id="0"/>
    </w:p>
    <w:p>
      <w:pPr>
        <w:pStyle w:val="style179"/>
        <w:ind w:left="1215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B894AEB8"/>
    <w:lvl w:ilvl="0" w:tplc="CD8E593A">
      <w:start w:val="1"/>
      <w:numFmt w:val="lowerLetter"/>
      <w:lvlText w:val="(%1)"/>
      <w:lvlJc w:val="left"/>
      <w:pPr>
        <w:ind w:left="19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">
    <w:nsid w:val="00000001"/>
    <w:multiLevelType w:val="hybridMultilevel"/>
    <w:tmpl w:val="05B69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072EF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CCF0AFE2"/>
    <w:lvl w:ilvl="0" w:tplc="CD8E593A">
      <w:start w:val="1"/>
      <w:numFmt w:val="lowerLetter"/>
      <w:lvlText w:val="(%1)"/>
      <w:lvlJc w:val="left"/>
      <w:pPr>
        <w:ind w:left="1215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00000004"/>
    <w:multiLevelType w:val="hybridMultilevel"/>
    <w:tmpl w:val="445E3880"/>
    <w:lvl w:ilvl="0" w:tplc="0409000F">
      <w:start w:val="1"/>
      <w:numFmt w:val="decimal"/>
      <w:lvlText w:val="%1."/>
      <w:lvlJc w:val="left"/>
      <w:pPr>
        <w:ind w:left="1935" w:hanging="360"/>
      </w:pPr>
    </w:lvl>
    <w:lvl w:ilvl="1" w:tplc="04090019" w:tentative="1">
      <w:start w:val="1"/>
      <w:numFmt w:val="lowerLetter"/>
      <w:lvlText w:val="%2."/>
      <w:lvlJc w:val="left"/>
      <w:pPr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ind w:left="769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608</Words>
  <Pages>3</Pages>
  <Characters>3035</Characters>
  <Application>WPS Office</Application>
  <DocSecurity>0</DocSecurity>
  <Paragraphs>27</Paragraphs>
  <ScaleCrop>false</ScaleCrop>
  <LinksUpToDate>false</LinksUpToDate>
  <CharactersWithSpaces>3743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2023-09-15T18:20:12Z</dcterms:created>
  <dc:creator>DELL</dc:creator>
  <lastModifiedBy>TECNO CK7n</lastModifiedBy>
  <dcterms:modified xsi:type="dcterms:W3CDTF">2023-09-15T18:20:12Z</dcterms:modified>
  <revision>16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f0f2a5d975fa4e48bd35447a15f97c00</vt:lpwstr>
  </property>
</Properties>
</file>